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E5B9E" w14:textId="7758B437" w:rsidR="00893986" w:rsidRPr="00893986" w:rsidRDefault="00893986" w:rsidP="00893986">
      <w:pPr>
        <w:pStyle w:val="Ttulo1"/>
        <w:jc w:val="both"/>
      </w:pPr>
      <w:r w:rsidRPr="00893986">
        <w:t>AVANCE 2025 – ESTRATEGIA DE FORTALECIMIENTO DE LA AGENCIA DISTRITAL DE EMPLEO</w:t>
      </w:r>
    </w:p>
    <w:p w14:paraId="1AE3D060" w14:textId="77777777" w:rsidR="00893986" w:rsidRPr="00893986" w:rsidRDefault="00893986" w:rsidP="00893986">
      <w:pPr>
        <w:rPr>
          <w:sz w:val="24"/>
          <w:szCs w:val="24"/>
        </w:rPr>
      </w:pPr>
    </w:p>
    <w:p w14:paraId="66DD7E4D" w14:textId="77777777" w:rsidR="00893986" w:rsidRPr="00893986" w:rsidRDefault="00893986" w:rsidP="00893986">
      <w:pPr>
        <w:pStyle w:val="Prrafodelista"/>
        <w:numPr>
          <w:ilvl w:val="0"/>
          <w:numId w:val="17"/>
        </w:numPr>
        <w:rPr>
          <w:sz w:val="24"/>
          <w:szCs w:val="24"/>
        </w:rPr>
      </w:pPr>
      <w:r w:rsidRPr="00893986">
        <w:rPr>
          <w:b/>
          <w:bCs/>
          <w:sz w:val="24"/>
          <w:szCs w:val="24"/>
        </w:rPr>
        <w:t>Acuerdo Distrital 951 de 2024 – Plan Distrital de Desarrollo “Bogotá Camina Segura” 2024–2028</w:t>
      </w:r>
    </w:p>
    <w:p w14:paraId="7CCC3F23" w14:textId="77777777" w:rsidR="00893986" w:rsidRPr="00893986" w:rsidRDefault="00893986" w:rsidP="00893986">
      <w:pPr>
        <w:pStyle w:val="Prrafodelista"/>
        <w:numPr>
          <w:ilvl w:val="0"/>
          <w:numId w:val="17"/>
        </w:numPr>
        <w:rPr>
          <w:sz w:val="24"/>
          <w:szCs w:val="24"/>
        </w:rPr>
      </w:pPr>
      <w:r w:rsidRPr="00893986">
        <w:rPr>
          <w:b/>
          <w:bCs/>
          <w:sz w:val="24"/>
          <w:szCs w:val="24"/>
        </w:rPr>
        <w:t>Eje Estratégico 2: Bogotá Productiva, Innovadora y Sostenible</w:t>
      </w:r>
    </w:p>
    <w:p w14:paraId="7268F5F9" w14:textId="77777777" w:rsidR="00893986" w:rsidRPr="00893986" w:rsidRDefault="00893986" w:rsidP="00893986">
      <w:pPr>
        <w:pStyle w:val="Prrafodelista"/>
        <w:numPr>
          <w:ilvl w:val="0"/>
          <w:numId w:val="17"/>
        </w:numPr>
        <w:rPr>
          <w:sz w:val="24"/>
          <w:szCs w:val="24"/>
        </w:rPr>
      </w:pPr>
      <w:r w:rsidRPr="00893986">
        <w:rPr>
          <w:b/>
          <w:bCs/>
          <w:sz w:val="24"/>
          <w:szCs w:val="24"/>
        </w:rPr>
        <w:t>Programa: Desarrollo Empresarial, Productividad y Empleo</w:t>
      </w:r>
    </w:p>
    <w:p w14:paraId="0CAB7848" w14:textId="6E3B423C" w:rsidR="00893986" w:rsidRPr="00893986" w:rsidRDefault="00893986" w:rsidP="00893986">
      <w:pPr>
        <w:pStyle w:val="Prrafodelista"/>
        <w:numPr>
          <w:ilvl w:val="0"/>
          <w:numId w:val="17"/>
        </w:numPr>
        <w:rPr>
          <w:sz w:val="24"/>
          <w:szCs w:val="24"/>
        </w:rPr>
      </w:pPr>
      <w:r w:rsidRPr="00893986">
        <w:rPr>
          <w:b/>
          <w:bCs/>
          <w:sz w:val="24"/>
          <w:szCs w:val="24"/>
        </w:rPr>
        <w:t>Meta 2124: Desarrollar 1 estrategia de fortalecimiento de la Agencia Distrital de Empleo</w:t>
      </w:r>
      <w:r w:rsidRPr="00893986">
        <w:rPr>
          <w:b/>
          <w:bCs/>
          <w:sz w:val="24"/>
          <w:szCs w:val="24"/>
        </w:rPr>
        <w:br/>
      </w:r>
    </w:p>
    <w:p w14:paraId="0FEA19E7" w14:textId="77777777" w:rsidR="00893986" w:rsidRPr="00893986" w:rsidRDefault="00893986" w:rsidP="00893986">
      <w:pPr>
        <w:tabs>
          <w:tab w:val="left" w:pos="10348"/>
        </w:tabs>
        <w:jc w:val="both"/>
        <w:rPr>
          <w:b/>
          <w:bCs/>
          <w:sz w:val="24"/>
          <w:szCs w:val="24"/>
          <w:u w:val="single"/>
        </w:rPr>
      </w:pPr>
      <w:r w:rsidRPr="00893986">
        <w:rPr>
          <w:sz w:val="24"/>
          <w:szCs w:val="24"/>
        </w:rPr>
        <w:br/>
      </w:r>
      <w:r w:rsidRPr="00893986">
        <w:rPr>
          <w:b/>
          <w:bCs/>
          <w:sz w:val="24"/>
          <w:szCs w:val="24"/>
          <w:u w:val="single"/>
        </w:rPr>
        <w:t>1. Contexto general</w:t>
      </w:r>
    </w:p>
    <w:p w14:paraId="0503D373" w14:textId="77777777" w:rsidR="00893986" w:rsidRPr="00893986" w:rsidRDefault="00893986" w:rsidP="00893986">
      <w:pPr>
        <w:rPr>
          <w:b/>
          <w:bCs/>
          <w:sz w:val="24"/>
          <w:szCs w:val="24"/>
          <w:u w:val="single"/>
        </w:rPr>
      </w:pPr>
      <w:r w:rsidRPr="00893986">
        <w:rPr>
          <w:sz w:val="24"/>
          <w:szCs w:val="24"/>
        </w:rPr>
        <w:br/>
        <w:t>En el marco del Acuerdo Distrital 951 de 2024, mediante el cual se adopta el Plan Distrital de Desarrollo Bogotá Camina Segura 2024–2028, la Secretaría Distrital de Desarrollo Económico (SDDE), a través de la Agencia Distrital de Empleo, viene implementando la Estrategia de Fortalecimiento Institucional, con el propósito de ampliar la cobertura, calidad y articulación de los servicios de empleabilidad de la ciudad.</w:t>
      </w:r>
      <w:r w:rsidRPr="00893986">
        <w:rPr>
          <w:sz w:val="24"/>
          <w:szCs w:val="24"/>
        </w:rPr>
        <w:br/>
      </w:r>
      <w:r w:rsidRPr="00893986">
        <w:rPr>
          <w:sz w:val="24"/>
          <w:szCs w:val="24"/>
        </w:rPr>
        <w:br/>
        <w:t>Esta estrategia responde a la Meta 2124, orientada a fortalecer el papel de la Agencia Distrital de Empleo bajo cuatro dimensiones estratégicas:</w:t>
      </w:r>
      <w:r w:rsidRPr="00893986">
        <w:rPr>
          <w:sz w:val="24"/>
          <w:szCs w:val="24"/>
        </w:rPr>
        <w:br/>
        <w:t>1️</w:t>
      </w:r>
      <w:r w:rsidRPr="00893986">
        <w:rPr>
          <w:rFonts w:ascii="Tahoma" w:hAnsi="Tahoma" w:cs="Tahoma"/>
          <w:sz w:val="24"/>
          <w:szCs w:val="24"/>
        </w:rPr>
        <w:t>⃣</w:t>
      </w:r>
      <w:r w:rsidRPr="00893986">
        <w:rPr>
          <w:sz w:val="24"/>
          <w:szCs w:val="24"/>
        </w:rPr>
        <w:t xml:space="preserve"> Inclusión laboral de la ciudadanía.</w:t>
      </w:r>
      <w:r w:rsidRPr="00893986">
        <w:rPr>
          <w:sz w:val="24"/>
          <w:szCs w:val="24"/>
        </w:rPr>
        <w:br/>
        <w:t>2️</w:t>
      </w:r>
      <w:r w:rsidRPr="00893986">
        <w:rPr>
          <w:rFonts w:ascii="Tahoma" w:hAnsi="Tahoma" w:cs="Tahoma"/>
          <w:sz w:val="24"/>
          <w:szCs w:val="24"/>
        </w:rPr>
        <w:t>⃣</w:t>
      </w:r>
      <w:r w:rsidRPr="00893986">
        <w:rPr>
          <w:sz w:val="24"/>
          <w:szCs w:val="24"/>
        </w:rPr>
        <w:t xml:space="preserve"> Acceso fácil, eficiente y oportuno para los empleadores en los procesos de gestión y colocación.</w:t>
      </w:r>
      <w:r w:rsidRPr="00893986">
        <w:rPr>
          <w:sz w:val="24"/>
          <w:szCs w:val="24"/>
        </w:rPr>
        <w:br/>
        <w:t>3️</w:t>
      </w:r>
      <w:r w:rsidRPr="00893986">
        <w:rPr>
          <w:rFonts w:ascii="Tahoma" w:hAnsi="Tahoma" w:cs="Tahoma"/>
          <w:sz w:val="24"/>
          <w:szCs w:val="24"/>
        </w:rPr>
        <w:t>⃣</w:t>
      </w:r>
      <w:r w:rsidRPr="00893986">
        <w:rPr>
          <w:sz w:val="24"/>
          <w:szCs w:val="24"/>
        </w:rPr>
        <w:t xml:space="preserve"> Participación territorial por localidades.</w:t>
      </w:r>
      <w:r w:rsidRPr="00893986">
        <w:rPr>
          <w:sz w:val="24"/>
          <w:szCs w:val="24"/>
        </w:rPr>
        <w:br/>
        <w:t>4️</w:t>
      </w:r>
      <w:r w:rsidRPr="00893986">
        <w:rPr>
          <w:rFonts w:ascii="Tahoma" w:hAnsi="Tahoma" w:cs="Tahoma"/>
          <w:sz w:val="24"/>
          <w:szCs w:val="24"/>
        </w:rPr>
        <w:t>⃣</w:t>
      </w:r>
      <w:r w:rsidRPr="00893986">
        <w:rPr>
          <w:sz w:val="24"/>
          <w:szCs w:val="24"/>
        </w:rPr>
        <w:t xml:space="preserve"> Articulación con entidades del orden nacional y distrital.</w:t>
      </w:r>
      <w:r w:rsidRPr="00893986">
        <w:rPr>
          <w:sz w:val="24"/>
          <w:szCs w:val="24"/>
        </w:rPr>
        <w:br/>
      </w:r>
      <w:r w:rsidRPr="00893986">
        <w:rPr>
          <w:sz w:val="24"/>
          <w:szCs w:val="24"/>
        </w:rPr>
        <w:br/>
        <w:t>El presente documento expone los avances correspondientes a la cuarta dimensión, referida a los procesos de articulación institucional, que consolidan alianzas estratégicas con actores públicos, privados, educativos y multilaterales del ecosistema de empleo en Bogotá.</w:t>
      </w:r>
      <w:r w:rsidRPr="00893986">
        <w:rPr>
          <w:sz w:val="24"/>
          <w:szCs w:val="24"/>
        </w:rPr>
        <w:br/>
      </w:r>
      <w:r w:rsidRPr="00893986">
        <w:rPr>
          <w:sz w:val="24"/>
          <w:szCs w:val="24"/>
        </w:rPr>
        <w:br/>
      </w:r>
      <w:r w:rsidRPr="00893986">
        <w:rPr>
          <w:b/>
          <w:bCs/>
          <w:sz w:val="24"/>
          <w:szCs w:val="24"/>
          <w:u w:val="single"/>
        </w:rPr>
        <w:t>2. Avances 2025 – Dimensión de articulación con entidades del orden nacional y distrital</w:t>
      </w:r>
      <w:r w:rsidRPr="00893986">
        <w:rPr>
          <w:b/>
          <w:bCs/>
          <w:sz w:val="24"/>
          <w:szCs w:val="24"/>
        </w:rPr>
        <w:br/>
      </w:r>
      <w:r w:rsidRPr="00893986">
        <w:rPr>
          <w:b/>
          <w:bCs/>
          <w:sz w:val="24"/>
          <w:szCs w:val="24"/>
        </w:rPr>
        <w:br/>
      </w:r>
      <w:r w:rsidRPr="00893986">
        <w:rPr>
          <w:b/>
          <w:bCs/>
          <w:sz w:val="24"/>
          <w:szCs w:val="24"/>
          <w:u w:val="single"/>
        </w:rPr>
        <w:t>a. Articulación con el Servicio Nacional de Aprendizaje – SENA</w:t>
      </w:r>
    </w:p>
    <w:p w14:paraId="243685B8" w14:textId="77777777" w:rsidR="00893986" w:rsidRPr="00893986" w:rsidRDefault="00893986" w:rsidP="00893986">
      <w:pPr>
        <w:jc w:val="both"/>
        <w:rPr>
          <w:sz w:val="24"/>
          <w:szCs w:val="24"/>
        </w:rPr>
      </w:pPr>
      <w:r w:rsidRPr="00893986">
        <w:rPr>
          <w:b/>
          <w:bCs/>
          <w:sz w:val="24"/>
          <w:szCs w:val="24"/>
          <w:u w:val="single"/>
        </w:rPr>
        <w:br/>
      </w:r>
      <w:r w:rsidRPr="00893986">
        <w:rPr>
          <w:sz w:val="24"/>
          <w:szCs w:val="24"/>
        </w:rPr>
        <w:t xml:space="preserve">El Servicio Nacional de Aprendizaje (SENA), como entidad pública </w:t>
      </w:r>
      <w:r w:rsidRPr="00893986">
        <w:rPr>
          <w:sz w:val="24"/>
          <w:szCs w:val="24"/>
        </w:rPr>
        <w:t>del orden nacional adscrita</w:t>
      </w:r>
      <w:r w:rsidRPr="00893986">
        <w:rPr>
          <w:sz w:val="24"/>
          <w:szCs w:val="24"/>
        </w:rPr>
        <w:t xml:space="preserve"> al Ministerio del Trabajo, tiene la misión de formar y cualificar talento humano, impulsar la intermediación laboral y fortalecer el vínculo entre formación y productividad. Su papel en el ecosistema de empleo es fundamental para el cierre de brechas de capital humano en la ciudad.</w:t>
      </w:r>
    </w:p>
    <w:p w14:paraId="5D59C6CF" w14:textId="77777777" w:rsidR="00893986" w:rsidRPr="00893986" w:rsidRDefault="00893986" w:rsidP="00893986">
      <w:pPr>
        <w:jc w:val="both"/>
        <w:rPr>
          <w:sz w:val="24"/>
          <w:szCs w:val="24"/>
        </w:rPr>
      </w:pPr>
      <w:r w:rsidRPr="00893986">
        <w:rPr>
          <w:sz w:val="24"/>
          <w:szCs w:val="24"/>
        </w:rPr>
        <w:br/>
        <w:t>En 2025, se suscribió el Convenio Interadministrativo SDDE No. 694-2025 con el SENA, iniciado el 21 de mayo de 2025, que tiene como meta beneficiar a 2.700 personas en servicios de empleabilidad a lo largo del cuatrienio (2025–2028). Durante este primer año, se avanza en el cumplimiento del Plan Operativo con la realización de dos eventos de empleabilidad, el primero de los cuales se llevará a cabo el 6 de noviembre de 2025, en un espacio interinstitucional orientado a garantizar el acceso a oportunidades laborales para la población con discapacidad.</w:t>
      </w:r>
      <w:r w:rsidRPr="00893986">
        <w:rPr>
          <w:sz w:val="24"/>
          <w:szCs w:val="24"/>
        </w:rPr>
        <w:br/>
      </w:r>
      <w:r w:rsidRPr="00893986">
        <w:rPr>
          <w:sz w:val="24"/>
          <w:szCs w:val="24"/>
        </w:rPr>
        <w:br/>
        <w:t>Esta articulación reafirma el compromiso del Distrito con una Bogotá más incluyente y equitativa, en la que la empleabilidad se consolida como herramienta de transformación social y económica.</w:t>
      </w:r>
    </w:p>
    <w:p w14:paraId="5AFAC240" w14:textId="77777777" w:rsidR="00893986" w:rsidRPr="00893986" w:rsidRDefault="00893986" w:rsidP="00893986">
      <w:pPr>
        <w:rPr>
          <w:b/>
          <w:bCs/>
          <w:sz w:val="24"/>
          <w:szCs w:val="24"/>
          <w:u w:val="single"/>
        </w:rPr>
      </w:pPr>
      <w:r w:rsidRPr="00893986">
        <w:rPr>
          <w:sz w:val="24"/>
          <w:szCs w:val="24"/>
        </w:rPr>
        <w:lastRenderedPageBreak/>
        <w:br/>
      </w:r>
      <w:r w:rsidRPr="00893986">
        <w:rPr>
          <w:b/>
          <w:bCs/>
          <w:sz w:val="24"/>
          <w:szCs w:val="24"/>
          <w:u w:val="single"/>
        </w:rPr>
        <w:br/>
        <w:t>b. Articulación con la Comisión Nacional del Servicio Civil – CNSC</w:t>
      </w:r>
    </w:p>
    <w:p w14:paraId="22CE72CD" w14:textId="6516EF6C" w:rsidR="00893986" w:rsidRDefault="00893986" w:rsidP="00893986">
      <w:pPr>
        <w:jc w:val="both"/>
        <w:rPr>
          <w:sz w:val="24"/>
          <w:szCs w:val="24"/>
        </w:rPr>
      </w:pPr>
      <w:r w:rsidRPr="00893986">
        <w:rPr>
          <w:sz w:val="24"/>
          <w:szCs w:val="24"/>
        </w:rPr>
        <w:br/>
      </w:r>
      <w:r w:rsidRPr="00893986">
        <w:rPr>
          <w:sz w:val="24"/>
          <w:szCs w:val="24"/>
        </w:rPr>
        <w:br/>
        <w:t>La Comisión Nacional del Servicio Civil (CNSC) es el órgano constitucional autónomo encargado de administrar y vigilar el mérito en el acceso y permanencia en los empleos públicos. Su participación fortalece el principio de igualdad de oportunidades y promueve la transparencia en la provisión de cargos dentro del Estado</w:t>
      </w:r>
      <w:r>
        <w:rPr>
          <w:sz w:val="24"/>
          <w:szCs w:val="24"/>
        </w:rPr>
        <w:t>.</w:t>
      </w:r>
    </w:p>
    <w:p w14:paraId="176F8821" w14:textId="750D85AF" w:rsidR="00893986" w:rsidRPr="00893986" w:rsidRDefault="00893986" w:rsidP="00893986">
      <w:pPr>
        <w:jc w:val="both"/>
        <w:rPr>
          <w:sz w:val="24"/>
          <w:szCs w:val="24"/>
        </w:rPr>
      </w:pPr>
      <w:r w:rsidRPr="00893986">
        <w:rPr>
          <w:sz w:val="24"/>
          <w:szCs w:val="24"/>
        </w:rPr>
        <w:br/>
      </w:r>
      <w:r w:rsidRPr="00893986">
        <w:rPr>
          <w:sz w:val="24"/>
          <w:szCs w:val="24"/>
        </w:rPr>
        <w:br/>
        <w:t>Durante 2025, la Agencia Distrital de Empleo ha establecido con la CNSC una agenda conjunta para la participación en ferias de empleo dirigidas a jóvenes y personas mayores de 50 años, con el objetivo de acercar la oferta pública de empleo y orientar sobre los procesos de concurso y meritocracia.</w:t>
      </w:r>
      <w:r w:rsidRPr="00893986">
        <w:rPr>
          <w:sz w:val="24"/>
          <w:szCs w:val="24"/>
        </w:rPr>
        <w:br/>
      </w:r>
      <w:r w:rsidRPr="00893986">
        <w:rPr>
          <w:sz w:val="24"/>
          <w:szCs w:val="24"/>
        </w:rPr>
        <w:br/>
        <w:t>Esta alianza contribuye al fomento de la cultura del mérito y amplía el espectro de oportunidades laborales formales para la ciudadanía bogotana.</w:t>
      </w:r>
    </w:p>
    <w:p w14:paraId="5E04D9D6" w14:textId="77777777" w:rsidR="00893986" w:rsidRPr="00893986" w:rsidRDefault="00893986" w:rsidP="00893986">
      <w:pPr>
        <w:jc w:val="both"/>
        <w:rPr>
          <w:b/>
          <w:bCs/>
          <w:sz w:val="24"/>
          <w:szCs w:val="24"/>
          <w:u w:val="single"/>
        </w:rPr>
      </w:pPr>
      <w:r w:rsidRPr="00893986">
        <w:rPr>
          <w:sz w:val="24"/>
          <w:szCs w:val="24"/>
        </w:rPr>
        <w:br/>
      </w:r>
      <w:r w:rsidRPr="00893986">
        <w:rPr>
          <w:sz w:val="24"/>
          <w:szCs w:val="24"/>
        </w:rPr>
        <w:br/>
      </w:r>
      <w:r w:rsidRPr="00893986">
        <w:rPr>
          <w:b/>
          <w:bCs/>
          <w:sz w:val="24"/>
          <w:szCs w:val="24"/>
          <w:u w:val="single"/>
        </w:rPr>
        <w:t>c. Articulación con el Banco Interamericano de Desarrollo – BID</w:t>
      </w:r>
    </w:p>
    <w:p w14:paraId="744E0F4C" w14:textId="77777777" w:rsidR="00893986" w:rsidRPr="00893986" w:rsidRDefault="00893986" w:rsidP="00893986">
      <w:pPr>
        <w:jc w:val="both"/>
        <w:rPr>
          <w:sz w:val="24"/>
          <w:szCs w:val="24"/>
        </w:rPr>
      </w:pPr>
      <w:r w:rsidRPr="00893986">
        <w:rPr>
          <w:sz w:val="24"/>
          <w:szCs w:val="24"/>
        </w:rPr>
        <w:br/>
      </w:r>
      <w:r w:rsidRPr="00893986">
        <w:rPr>
          <w:sz w:val="24"/>
          <w:szCs w:val="24"/>
        </w:rPr>
        <w:br/>
        <w:t>El Banco Interamericano de Desarrollo (BID) es un organismo multilateral que promueve el desarrollo económico, social e institucional de América Latina y el Caribe, mediante asistencia técnica, financiamiento y fortalecimiento de capacidades.</w:t>
      </w:r>
    </w:p>
    <w:p w14:paraId="3117BD7F" w14:textId="77777777" w:rsidR="00893986" w:rsidRPr="00893986" w:rsidRDefault="00893986" w:rsidP="00893986">
      <w:pPr>
        <w:jc w:val="both"/>
        <w:rPr>
          <w:sz w:val="24"/>
          <w:szCs w:val="24"/>
        </w:rPr>
      </w:pPr>
      <w:r w:rsidRPr="00893986">
        <w:rPr>
          <w:sz w:val="24"/>
          <w:szCs w:val="24"/>
        </w:rPr>
        <w:br/>
        <w:t>En 2025, se consolidó una línea de consultoría técnica y acompañamiento metodológico con el BID en el marco de la Estrategia de Relacionamiento Empresarial de la SDDE. En este contexto, se desarrolló el taller “Liderando el Cambio”, orientado a la transferencia de conocimientos y buenas prácticas internacionales sobre gestión de talento humano, inclusión laboral y liderazgo adaptativo.</w:t>
      </w:r>
    </w:p>
    <w:p w14:paraId="42123BC4" w14:textId="77777777" w:rsidR="00893986" w:rsidRPr="00893986" w:rsidRDefault="00893986" w:rsidP="00893986">
      <w:pPr>
        <w:jc w:val="both"/>
        <w:rPr>
          <w:sz w:val="24"/>
          <w:szCs w:val="24"/>
        </w:rPr>
      </w:pPr>
      <w:r w:rsidRPr="00893986">
        <w:rPr>
          <w:sz w:val="24"/>
          <w:szCs w:val="24"/>
        </w:rPr>
        <w:br/>
      </w:r>
      <w:r w:rsidRPr="00893986">
        <w:rPr>
          <w:sz w:val="24"/>
          <w:szCs w:val="24"/>
        </w:rPr>
        <w:br/>
        <w:t>Esta cooperación ha permitido robustecer los enfoques de innovación y sostenibilidad en los servicios de empleo, fortaleciendo la capacidad institucional de la Agencia Distrital de Empleo.</w:t>
      </w:r>
    </w:p>
    <w:p w14:paraId="1FC1A132" w14:textId="77777777" w:rsidR="00893986" w:rsidRPr="00893986" w:rsidRDefault="00893986" w:rsidP="00893986">
      <w:pPr>
        <w:jc w:val="both"/>
        <w:rPr>
          <w:b/>
          <w:bCs/>
          <w:sz w:val="24"/>
          <w:szCs w:val="24"/>
          <w:u w:val="single"/>
        </w:rPr>
      </w:pPr>
      <w:r w:rsidRPr="00893986">
        <w:rPr>
          <w:sz w:val="24"/>
          <w:szCs w:val="24"/>
        </w:rPr>
        <w:br/>
      </w:r>
      <w:r w:rsidRPr="00893986">
        <w:rPr>
          <w:sz w:val="24"/>
          <w:szCs w:val="24"/>
        </w:rPr>
        <w:br/>
      </w:r>
      <w:r w:rsidRPr="00893986">
        <w:rPr>
          <w:b/>
          <w:bCs/>
          <w:sz w:val="24"/>
          <w:szCs w:val="24"/>
          <w:u w:val="single"/>
        </w:rPr>
        <w:t>d. Articulación con Instituciones de Educación Superior – IES</w:t>
      </w:r>
    </w:p>
    <w:p w14:paraId="7474666D" w14:textId="77777777" w:rsidR="00893986" w:rsidRPr="00893986" w:rsidRDefault="00893986" w:rsidP="00893986">
      <w:pPr>
        <w:jc w:val="both"/>
        <w:rPr>
          <w:sz w:val="24"/>
          <w:szCs w:val="24"/>
        </w:rPr>
      </w:pPr>
      <w:r w:rsidRPr="00893986">
        <w:rPr>
          <w:sz w:val="24"/>
          <w:szCs w:val="24"/>
        </w:rPr>
        <w:br/>
      </w:r>
      <w:r w:rsidRPr="00893986">
        <w:rPr>
          <w:sz w:val="24"/>
          <w:szCs w:val="24"/>
        </w:rPr>
        <w:br/>
        <w:t>Las Instituciones de Educación Superior (IES) cumplen un papel esencial en el ecosistema de empleo al vincular la formación académica con las necesidades del mercado laboral, impulsar la empleabilidad juvenil y acompañar los procesos de inserción laboral de sus egresados.</w:t>
      </w:r>
    </w:p>
    <w:p w14:paraId="46603599" w14:textId="77777777" w:rsidR="00893986" w:rsidRPr="00893986" w:rsidRDefault="00893986" w:rsidP="00893986">
      <w:pPr>
        <w:jc w:val="both"/>
        <w:rPr>
          <w:sz w:val="24"/>
          <w:szCs w:val="24"/>
        </w:rPr>
      </w:pPr>
      <w:r w:rsidRPr="00893986">
        <w:rPr>
          <w:sz w:val="24"/>
          <w:szCs w:val="24"/>
        </w:rPr>
        <w:br/>
      </w:r>
      <w:r w:rsidRPr="00893986">
        <w:rPr>
          <w:sz w:val="24"/>
          <w:szCs w:val="24"/>
        </w:rPr>
        <w:br/>
        <w:t>Durante 2025, la Agencia Distrital de Empleo ha fortalecido la relación con instituciones como la Universidad de La Salle, Universidad Central y Pontificia Universidad Javeriana, promoviendo acciones conjuntas a través de sus bolsas de empleo y unidades de graduados.</w:t>
      </w:r>
    </w:p>
    <w:p w14:paraId="1B8FFA8E" w14:textId="77777777" w:rsidR="00893986" w:rsidRPr="00893986" w:rsidRDefault="00893986" w:rsidP="00893986">
      <w:pPr>
        <w:jc w:val="both"/>
        <w:rPr>
          <w:sz w:val="24"/>
          <w:szCs w:val="24"/>
        </w:rPr>
      </w:pPr>
      <w:r w:rsidRPr="00893986">
        <w:rPr>
          <w:sz w:val="24"/>
          <w:szCs w:val="24"/>
        </w:rPr>
        <w:lastRenderedPageBreak/>
        <w:br/>
      </w:r>
      <w:r w:rsidRPr="00893986">
        <w:rPr>
          <w:sz w:val="24"/>
          <w:szCs w:val="24"/>
        </w:rPr>
        <w:br/>
        <w:t>Entre los hitos relevantes se destacan:</w:t>
      </w:r>
    </w:p>
    <w:p w14:paraId="366F63E2" w14:textId="77777777" w:rsidR="00893986" w:rsidRPr="00893986" w:rsidRDefault="00893986" w:rsidP="00893986">
      <w:pPr>
        <w:jc w:val="both"/>
        <w:rPr>
          <w:sz w:val="24"/>
          <w:szCs w:val="24"/>
        </w:rPr>
      </w:pPr>
      <w:r w:rsidRPr="00893986">
        <w:rPr>
          <w:sz w:val="24"/>
          <w:szCs w:val="24"/>
        </w:rPr>
        <w:br/>
        <w:t>- La realización de Desayunos Empresariales con enfoque sectorial en Salud y Tecnología, que han facilitado el encuentro entre empresas, universidades y buscadores de empleo.</w:t>
      </w:r>
    </w:p>
    <w:p w14:paraId="77A86C16" w14:textId="13476EB9" w:rsidR="00893986" w:rsidRPr="00893986" w:rsidRDefault="00893986" w:rsidP="00893986">
      <w:pPr>
        <w:jc w:val="both"/>
        <w:rPr>
          <w:sz w:val="24"/>
          <w:szCs w:val="24"/>
        </w:rPr>
      </w:pPr>
      <w:r w:rsidRPr="00893986">
        <w:rPr>
          <w:sz w:val="24"/>
          <w:szCs w:val="24"/>
        </w:rPr>
        <w:br/>
        <w:t xml:space="preserve">- La participación de las universidades en la Feria de Empleo para Jóvenes realizada en </w:t>
      </w:r>
      <w:proofErr w:type="spellStart"/>
      <w:r w:rsidRPr="00893986">
        <w:rPr>
          <w:sz w:val="24"/>
          <w:szCs w:val="24"/>
        </w:rPr>
        <w:t>Theatron</w:t>
      </w:r>
      <w:proofErr w:type="spellEnd"/>
      <w:r w:rsidRPr="00893986">
        <w:rPr>
          <w:sz w:val="24"/>
          <w:szCs w:val="24"/>
        </w:rPr>
        <w:t xml:space="preserve"> el 21 de agosto de 2025, acercando la oferta de formación y empleo en espacios de alta convocatoria y diversidad.</w:t>
      </w:r>
      <w:r w:rsidRPr="00893986">
        <w:rPr>
          <w:sz w:val="24"/>
          <w:szCs w:val="24"/>
        </w:rPr>
        <w:br/>
      </w:r>
      <w:r w:rsidRPr="00893986">
        <w:rPr>
          <w:sz w:val="24"/>
          <w:szCs w:val="24"/>
        </w:rPr>
        <w:br/>
        <w:t>Estas alianzas fortalecen el vínculo entre la formación profesional y las demandas del sector productivo, consolidando a Bogotá como un territorio que apuesta por el talento y la innovación.</w:t>
      </w:r>
    </w:p>
    <w:p w14:paraId="3F1BD987" w14:textId="77777777" w:rsidR="00893986" w:rsidRPr="00893986" w:rsidRDefault="00893986" w:rsidP="00893986">
      <w:pPr>
        <w:jc w:val="both"/>
        <w:rPr>
          <w:b/>
          <w:bCs/>
          <w:sz w:val="24"/>
          <w:szCs w:val="24"/>
          <w:u w:val="single"/>
        </w:rPr>
      </w:pPr>
      <w:r w:rsidRPr="00893986">
        <w:rPr>
          <w:sz w:val="24"/>
          <w:szCs w:val="24"/>
        </w:rPr>
        <w:br/>
      </w:r>
      <w:r w:rsidRPr="00893986">
        <w:rPr>
          <w:sz w:val="24"/>
          <w:szCs w:val="24"/>
        </w:rPr>
        <w:br/>
      </w:r>
      <w:r w:rsidRPr="00893986">
        <w:rPr>
          <w:b/>
          <w:bCs/>
          <w:sz w:val="24"/>
          <w:szCs w:val="24"/>
          <w:u w:val="single"/>
        </w:rPr>
        <w:t>3. Conclusiones y perspectivas</w:t>
      </w:r>
    </w:p>
    <w:p w14:paraId="17490386" w14:textId="77777777" w:rsidR="00893986" w:rsidRPr="00893986" w:rsidRDefault="00893986" w:rsidP="00893986">
      <w:pPr>
        <w:jc w:val="both"/>
        <w:rPr>
          <w:sz w:val="24"/>
          <w:szCs w:val="24"/>
        </w:rPr>
      </w:pPr>
      <w:r w:rsidRPr="00893986">
        <w:rPr>
          <w:sz w:val="24"/>
          <w:szCs w:val="24"/>
        </w:rPr>
        <w:br/>
        <w:t>Durante 2025, la Agencia Distrital de Empleo ha avanzado significativamente en la implementación de la Estrategia de Fortalecimiento Institucional, particularmente en la dimensión de articulación interinstitucional, generando sinergias que permiten ampliar el impacto de los servicios de empleabilidad y mejorar la conexión entre oferta y demanda laboral.</w:t>
      </w:r>
    </w:p>
    <w:p w14:paraId="6588927E" w14:textId="77777777" w:rsidR="00893986" w:rsidRDefault="00893986" w:rsidP="00893986">
      <w:pPr>
        <w:jc w:val="both"/>
        <w:rPr>
          <w:sz w:val="24"/>
          <w:szCs w:val="24"/>
        </w:rPr>
      </w:pPr>
      <w:r w:rsidRPr="00893986">
        <w:rPr>
          <w:sz w:val="24"/>
          <w:szCs w:val="24"/>
        </w:rPr>
        <w:br/>
        <w:t>El trabajo conjunto con entidades nacionales, multilaterales y educativas reafirma el papel de la SDDE como líder del ecosistema de empleo de la ciudad, orientado a una Bogotá más productiva, inclusiva e innovadora.</w:t>
      </w:r>
    </w:p>
    <w:p w14:paraId="739D97E2" w14:textId="4368C649" w:rsidR="00893986" w:rsidRPr="00893986" w:rsidRDefault="00893986" w:rsidP="00893986">
      <w:pPr>
        <w:jc w:val="both"/>
        <w:rPr>
          <w:sz w:val="24"/>
          <w:szCs w:val="24"/>
        </w:rPr>
      </w:pPr>
      <w:r w:rsidRPr="00893986">
        <w:rPr>
          <w:sz w:val="24"/>
          <w:szCs w:val="24"/>
        </w:rPr>
        <w:br/>
      </w:r>
      <w:r w:rsidRPr="00893986">
        <w:rPr>
          <w:sz w:val="24"/>
          <w:szCs w:val="24"/>
        </w:rPr>
        <w:br/>
      </w:r>
    </w:p>
    <w:p w14:paraId="1D65CC10" w14:textId="77777777" w:rsidR="00893986" w:rsidRPr="00893986" w:rsidRDefault="00893986" w:rsidP="00893986">
      <w:pPr>
        <w:spacing w:line="276" w:lineRule="auto"/>
        <w:ind w:right="4275"/>
        <w:jc w:val="both"/>
        <w:rPr>
          <w:b/>
          <w:i/>
          <w:sz w:val="24"/>
          <w:szCs w:val="24"/>
        </w:rPr>
      </w:pPr>
    </w:p>
    <w:p w14:paraId="1DEBC9E7" w14:textId="418B7073" w:rsidR="00664FF0" w:rsidRPr="00893986" w:rsidRDefault="00D979C2" w:rsidP="00893986">
      <w:pPr>
        <w:spacing w:line="276" w:lineRule="auto"/>
        <w:ind w:right="27"/>
        <w:jc w:val="both"/>
        <w:rPr>
          <w:b/>
          <w:i/>
          <w:sz w:val="24"/>
          <w:szCs w:val="24"/>
        </w:rPr>
      </w:pPr>
      <w:r w:rsidRPr="00893986">
        <w:rPr>
          <w:b/>
          <w:i/>
          <w:sz w:val="24"/>
          <w:szCs w:val="24"/>
        </w:rPr>
        <w:t>Elaboró: Naidu Sastoque</w:t>
      </w:r>
    </w:p>
    <w:p w14:paraId="79AD65D3" w14:textId="77777777" w:rsidR="00664FF0" w:rsidRPr="00893986" w:rsidRDefault="00D979C2" w:rsidP="00893986">
      <w:pPr>
        <w:spacing w:line="276" w:lineRule="auto"/>
        <w:ind w:right="4275"/>
        <w:jc w:val="both"/>
        <w:rPr>
          <w:b/>
          <w:i/>
          <w:sz w:val="24"/>
          <w:szCs w:val="24"/>
        </w:rPr>
      </w:pPr>
      <w:r w:rsidRPr="00893986">
        <w:rPr>
          <w:b/>
          <w:i/>
          <w:sz w:val="24"/>
          <w:szCs w:val="24"/>
        </w:rPr>
        <w:t>Revisó: Fabian Bueno</w:t>
      </w:r>
    </w:p>
    <w:sectPr w:rsidR="00664FF0" w:rsidRPr="00893986" w:rsidSect="00225EE3">
      <w:headerReference w:type="default" r:id="rId8"/>
      <w:footerReference w:type="default" r:id="rId9"/>
      <w:type w:val="continuous"/>
      <w:pgSz w:w="12240" w:h="15840"/>
      <w:pgMar w:top="1880" w:right="720" w:bottom="740" w:left="720" w:header="752" w:footer="5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4DA32" w14:textId="77777777" w:rsidR="00CA6A2F" w:rsidRDefault="00CA6A2F">
      <w:r>
        <w:separator/>
      </w:r>
    </w:p>
  </w:endnote>
  <w:endnote w:type="continuationSeparator" w:id="0">
    <w:p w14:paraId="7FE91AE6" w14:textId="77777777" w:rsidR="00CA6A2F" w:rsidRDefault="00CA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Helvetica Neue">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7EBF7" w14:textId="77777777" w:rsidR="00664FF0" w:rsidRDefault="00D979C2">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9264" behindDoc="1" locked="0" layoutInCell="1" hidden="0" allowOverlap="1" wp14:anchorId="770B86D0" wp14:editId="103FBE1F">
              <wp:simplePos x="0" y="0"/>
              <wp:positionH relativeFrom="column">
                <wp:posOffset>38100</wp:posOffset>
              </wp:positionH>
              <wp:positionV relativeFrom="paragraph">
                <wp:posOffset>9563100</wp:posOffset>
              </wp:positionV>
              <wp:extent cx="177165" cy="207010"/>
              <wp:effectExtent l="0" t="0" r="0" b="0"/>
              <wp:wrapNone/>
              <wp:docPr id="779729105" name="Rectángulo 779729105"/>
              <wp:cNvGraphicFramePr/>
              <a:graphic xmlns:a="http://schemas.openxmlformats.org/drawingml/2006/main">
                <a:graphicData uri="http://schemas.microsoft.com/office/word/2010/wordprocessingShape">
                  <wps:wsp>
                    <wps:cNvSpPr/>
                    <wps:spPr>
                      <a:xfrm>
                        <a:off x="5262180" y="3681258"/>
                        <a:ext cx="167640" cy="197485"/>
                      </a:xfrm>
                      <a:prstGeom prst="rect">
                        <a:avLst/>
                      </a:prstGeom>
                      <a:noFill/>
                      <a:ln>
                        <a:noFill/>
                      </a:ln>
                    </wps:spPr>
                    <wps:txbx>
                      <w:txbxContent>
                        <w:p w14:paraId="786D55BE" w14:textId="77777777" w:rsidR="00664FF0" w:rsidRDefault="00D979C2">
                          <w:pPr>
                            <w:spacing w:before="35"/>
                            <w:ind w:left="60" w:firstLine="60"/>
                            <w:textDirection w:val="btLr"/>
                          </w:pPr>
                          <w:r>
                            <w:rPr>
                              <w:b/>
                              <w:color w:val="000000"/>
                            </w:rPr>
                            <w:t xml:space="preserve"> PAGE 1</w:t>
                          </w:r>
                        </w:p>
                      </w:txbxContent>
                    </wps:txbx>
                    <wps:bodyPr spcFirstLastPara="1" wrap="square" lIns="0" tIns="0" rIns="0" bIns="0" anchor="t" anchorCtr="0">
                      <a:noAutofit/>
                    </wps:bodyPr>
                  </wps:wsp>
                </a:graphicData>
              </a:graphic>
            </wp:anchor>
          </w:drawing>
        </mc:Choice>
        <mc:Fallback>
          <w:pict>
            <v:rect w14:anchorId="770B86D0" id="Rectángulo 779729105" o:spid="_x0000_s1026" style="position:absolute;margin-left:3pt;margin-top:753pt;width:13.95pt;height:16.3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" filled="f" stroked="f">
              <v:textbox inset="0,0,0,0">
                <w:txbxContent>
                  <w:p w14:paraId="786D55BE" w14:textId="77777777" w:rsidR="00664FF0" w:rsidRDefault="00D979C2">
                    <w:pPr>
                      <w:spacing w:before="35"/>
                      <w:ind w:left="60" w:firstLine="60"/>
                      <w:textDirection w:val="btLr"/>
                    </w:pPr>
                    <w:r>
                      <w:rPr>
                        <w:b/>
                        <w:color w:val="000000"/>
                      </w:rPr>
                      <w:t xml:space="preserve"> PAGE 1</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D3ADF" w14:textId="77777777" w:rsidR="00CA6A2F" w:rsidRDefault="00CA6A2F">
      <w:r>
        <w:separator/>
      </w:r>
    </w:p>
  </w:footnote>
  <w:footnote w:type="continuationSeparator" w:id="0">
    <w:p w14:paraId="6F81E769" w14:textId="77777777" w:rsidR="00CA6A2F" w:rsidRDefault="00CA6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46C8D" w14:textId="77777777" w:rsidR="00664FF0" w:rsidRDefault="00D979C2">
    <w:pPr>
      <w:pBdr>
        <w:top w:val="nil"/>
        <w:left w:val="nil"/>
        <w:bottom w:val="nil"/>
        <w:right w:val="nil"/>
        <w:between w:val="nil"/>
      </w:pBdr>
      <w:spacing w:line="14" w:lineRule="auto"/>
      <w:rPr>
        <w:color w:val="000000"/>
        <w:sz w:val="20"/>
        <w:szCs w:val="20"/>
      </w:rPr>
    </w:pPr>
    <w:r>
      <w:rPr>
        <w:noProof/>
        <w:color w:val="000000"/>
        <w:sz w:val="20"/>
        <w:szCs w:val="20"/>
      </w:rPr>
      <w:drawing>
        <wp:anchor distT="0" distB="0" distL="0" distR="0" simplePos="0" relativeHeight="251658240" behindDoc="1" locked="0" layoutInCell="1" hidden="0" allowOverlap="1" wp14:anchorId="37A80E12" wp14:editId="4530AA8C">
          <wp:simplePos x="0" y="0"/>
          <wp:positionH relativeFrom="page">
            <wp:posOffset>3101474</wp:posOffset>
          </wp:positionH>
          <wp:positionV relativeFrom="page">
            <wp:posOffset>477307</wp:posOffset>
          </wp:positionV>
          <wp:extent cx="1927638" cy="473964"/>
          <wp:effectExtent l="0" t="0" r="0" b="0"/>
          <wp:wrapNone/>
          <wp:docPr id="77972910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927638" cy="4739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2B43"/>
    <w:multiLevelType w:val="multilevel"/>
    <w:tmpl w:val="AC246F5A"/>
    <w:lvl w:ilvl="0">
      <w:numFmt w:val="bullet"/>
      <w:lvlText w:val="●"/>
      <w:lvlJc w:val="left"/>
      <w:pPr>
        <w:ind w:left="850" w:hanging="361"/>
      </w:pPr>
      <w:rPr>
        <w:rFonts w:ascii="Noto Sans Symbols" w:eastAsia="Noto Sans Symbols" w:hAnsi="Noto Sans Symbols" w:cs="Noto Sans Symbols"/>
      </w:rPr>
    </w:lvl>
    <w:lvl w:ilvl="1">
      <w:numFmt w:val="bullet"/>
      <w:lvlText w:val="●"/>
      <w:lvlJc w:val="left"/>
      <w:pPr>
        <w:ind w:left="1265" w:hanging="416"/>
      </w:pPr>
      <w:rPr>
        <w:rFonts w:ascii="Helvetica Neue" w:eastAsia="Helvetica Neue" w:hAnsi="Helvetica Neue" w:cs="Helvetica Neue"/>
        <w:b w:val="0"/>
        <w:i w:val="0"/>
        <w:sz w:val="24"/>
        <w:szCs w:val="24"/>
      </w:rPr>
    </w:lvl>
    <w:lvl w:ilvl="2">
      <w:numFmt w:val="bullet"/>
      <w:lvlText w:val="o"/>
      <w:lvlJc w:val="left"/>
      <w:pPr>
        <w:ind w:left="1570" w:hanging="360"/>
      </w:pPr>
      <w:rPr>
        <w:rFonts w:ascii="Courier New" w:eastAsia="Courier New" w:hAnsi="Courier New" w:cs="Courier New"/>
        <w:b w:val="0"/>
        <w:i w:val="0"/>
        <w:sz w:val="20"/>
        <w:szCs w:val="20"/>
      </w:rPr>
    </w:lvl>
    <w:lvl w:ilvl="3">
      <w:numFmt w:val="bullet"/>
      <w:lvlText w:val="•"/>
      <w:lvlJc w:val="left"/>
      <w:pPr>
        <w:ind w:left="2732" w:hanging="360"/>
      </w:pPr>
    </w:lvl>
    <w:lvl w:ilvl="4">
      <w:numFmt w:val="bullet"/>
      <w:lvlText w:val="•"/>
      <w:lvlJc w:val="left"/>
      <w:pPr>
        <w:ind w:left="3885" w:hanging="360"/>
      </w:pPr>
    </w:lvl>
    <w:lvl w:ilvl="5">
      <w:numFmt w:val="bullet"/>
      <w:lvlText w:val="•"/>
      <w:lvlJc w:val="left"/>
      <w:pPr>
        <w:ind w:left="5037" w:hanging="360"/>
      </w:pPr>
    </w:lvl>
    <w:lvl w:ilvl="6">
      <w:numFmt w:val="bullet"/>
      <w:lvlText w:val="•"/>
      <w:lvlJc w:val="left"/>
      <w:pPr>
        <w:ind w:left="6190" w:hanging="360"/>
      </w:pPr>
    </w:lvl>
    <w:lvl w:ilvl="7">
      <w:numFmt w:val="bullet"/>
      <w:lvlText w:val="•"/>
      <w:lvlJc w:val="left"/>
      <w:pPr>
        <w:ind w:left="7342" w:hanging="360"/>
      </w:pPr>
    </w:lvl>
    <w:lvl w:ilvl="8">
      <w:numFmt w:val="bullet"/>
      <w:lvlText w:val="•"/>
      <w:lvlJc w:val="left"/>
      <w:pPr>
        <w:ind w:left="8495" w:hanging="360"/>
      </w:pPr>
    </w:lvl>
  </w:abstractNum>
  <w:abstractNum w:abstractNumId="1" w15:restartNumberingAfterBreak="0">
    <w:nsid w:val="08F9645E"/>
    <w:multiLevelType w:val="hybridMultilevel"/>
    <w:tmpl w:val="53BA65D4"/>
    <w:lvl w:ilvl="0" w:tplc="1DA49526">
      <w:start w:val="1"/>
      <w:numFmt w:val="lowerLetter"/>
      <w:lvlText w:val="%1."/>
      <w:lvlJc w:val="left"/>
      <w:pPr>
        <w:ind w:left="1215" w:hanging="360"/>
      </w:pPr>
      <w:rPr>
        <w:rFonts w:hint="default"/>
      </w:rPr>
    </w:lvl>
    <w:lvl w:ilvl="1" w:tplc="240A0019" w:tentative="1">
      <w:start w:val="1"/>
      <w:numFmt w:val="lowerLetter"/>
      <w:lvlText w:val="%2."/>
      <w:lvlJc w:val="left"/>
      <w:pPr>
        <w:ind w:left="1935" w:hanging="360"/>
      </w:pPr>
    </w:lvl>
    <w:lvl w:ilvl="2" w:tplc="240A001B" w:tentative="1">
      <w:start w:val="1"/>
      <w:numFmt w:val="lowerRoman"/>
      <w:lvlText w:val="%3."/>
      <w:lvlJc w:val="right"/>
      <w:pPr>
        <w:ind w:left="2655" w:hanging="180"/>
      </w:pPr>
    </w:lvl>
    <w:lvl w:ilvl="3" w:tplc="240A000F" w:tentative="1">
      <w:start w:val="1"/>
      <w:numFmt w:val="decimal"/>
      <w:lvlText w:val="%4."/>
      <w:lvlJc w:val="left"/>
      <w:pPr>
        <w:ind w:left="3375" w:hanging="360"/>
      </w:pPr>
    </w:lvl>
    <w:lvl w:ilvl="4" w:tplc="240A0019" w:tentative="1">
      <w:start w:val="1"/>
      <w:numFmt w:val="lowerLetter"/>
      <w:lvlText w:val="%5."/>
      <w:lvlJc w:val="left"/>
      <w:pPr>
        <w:ind w:left="4095" w:hanging="360"/>
      </w:pPr>
    </w:lvl>
    <w:lvl w:ilvl="5" w:tplc="240A001B" w:tentative="1">
      <w:start w:val="1"/>
      <w:numFmt w:val="lowerRoman"/>
      <w:lvlText w:val="%6."/>
      <w:lvlJc w:val="right"/>
      <w:pPr>
        <w:ind w:left="4815" w:hanging="180"/>
      </w:pPr>
    </w:lvl>
    <w:lvl w:ilvl="6" w:tplc="240A000F" w:tentative="1">
      <w:start w:val="1"/>
      <w:numFmt w:val="decimal"/>
      <w:lvlText w:val="%7."/>
      <w:lvlJc w:val="left"/>
      <w:pPr>
        <w:ind w:left="5535" w:hanging="360"/>
      </w:pPr>
    </w:lvl>
    <w:lvl w:ilvl="7" w:tplc="240A0019" w:tentative="1">
      <w:start w:val="1"/>
      <w:numFmt w:val="lowerLetter"/>
      <w:lvlText w:val="%8."/>
      <w:lvlJc w:val="left"/>
      <w:pPr>
        <w:ind w:left="6255" w:hanging="360"/>
      </w:pPr>
    </w:lvl>
    <w:lvl w:ilvl="8" w:tplc="240A001B" w:tentative="1">
      <w:start w:val="1"/>
      <w:numFmt w:val="lowerRoman"/>
      <w:lvlText w:val="%9."/>
      <w:lvlJc w:val="right"/>
      <w:pPr>
        <w:ind w:left="6975" w:hanging="180"/>
      </w:pPr>
    </w:lvl>
  </w:abstractNum>
  <w:abstractNum w:abstractNumId="2" w15:restartNumberingAfterBreak="0">
    <w:nsid w:val="1D8957B2"/>
    <w:multiLevelType w:val="multilevel"/>
    <w:tmpl w:val="21A04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1043E64"/>
    <w:multiLevelType w:val="multilevel"/>
    <w:tmpl w:val="6AE68D58"/>
    <w:lvl w:ilvl="0">
      <w:numFmt w:val="bullet"/>
      <w:lvlText w:val="-"/>
      <w:lvlJc w:val="left"/>
      <w:pPr>
        <w:ind w:left="343" w:hanging="214"/>
      </w:pPr>
      <w:rPr>
        <w:rFonts w:ascii="Arial" w:eastAsia="Arial" w:hAnsi="Arial" w:cs="Arial"/>
        <w:b w:val="0"/>
        <w:i w:val="0"/>
        <w:sz w:val="24"/>
        <w:szCs w:val="24"/>
      </w:rPr>
    </w:lvl>
    <w:lvl w:ilvl="1">
      <w:numFmt w:val="bullet"/>
      <w:lvlText w:val="●"/>
      <w:lvlJc w:val="left"/>
      <w:pPr>
        <w:ind w:left="850" w:hanging="361"/>
      </w:pPr>
      <w:rPr>
        <w:rFonts w:ascii="Noto Sans Symbols" w:eastAsia="Noto Sans Symbols" w:hAnsi="Noto Sans Symbols" w:cs="Noto Sans Symbols"/>
        <w:b w:val="0"/>
        <w:i w:val="0"/>
        <w:sz w:val="20"/>
        <w:szCs w:val="20"/>
      </w:rPr>
    </w:lvl>
    <w:lvl w:ilvl="2">
      <w:numFmt w:val="bullet"/>
      <w:lvlText w:val="o"/>
      <w:lvlJc w:val="left"/>
      <w:pPr>
        <w:ind w:left="1570" w:hanging="360"/>
      </w:pPr>
      <w:rPr>
        <w:rFonts w:ascii="Courier New" w:eastAsia="Courier New" w:hAnsi="Courier New" w:cs="Courier New"/>
        <w:b w:val="0"/>
        <w:i w:val="0"/>
        <w:sz w:val="20"/>
        <w:szCs w:val="20"/>
      </w:rPr>
    </w:lvl>
    <w:lvl w:ilvl="3">
      <w:numFmt w:val="bullet"/>
      <w:lvlText w:val="•"/>
      <w:lvlJc w:val="left"/>
      <w:pPr>
        <w:ind w:left="2732" w:hanging="360"/>
      </w:pPr>
    </w:lvl>
    <w:lvl w:ilvl="4">
      <w:numFmt w:val="bullet"/>
      <w:lvlText w:val="•"/>
      <w:lvlJc w:val="left"/>
      <w:pPr>
        <w:ind w:left="3885" w:hanging="360"/>
      </w:pPr>
    </w:lvl>
    <w:lvl w:ilvl="5">
      <w:numFmt w:val="bullet"/>
      <w:lvlText w:val="•"/>
      <w:lvlJc w:val="left"/>
      <w:pPr>
        <w:ind w:left="5037" w:hanging="360"/>
      </w:pPr>
    </w:lvl>
    <w:lvl w:ilvl="6">
      <w:numFmt w:val="bullet"/>
      <w:lvlText w:val="•"/>
      <w:lvlJc w:val="left"/>
      <w:pPr>
        <w:ind w:left="6190" w:hanging="360"/>
      </w:pPr>
    </w:lvl>
    <w:lvl w:ilvl="7">
      <w:numFmt w:val="bullet"/>
      <w:lvlText w:val="•"/>
      <w:lvlJc w:val="left"/>
      <w:pPr>
        <w:ind w:left="7342" w:hanging="360"/>
      </w:pPr>
    </w:lvl>
    <w:lvl w:ilvl="8">
      <w:numFmt w:val="bullet"/>
      <w:lvlText w:val="•"/>
      <w:lvlJc w:val="left"/>
      <w:pPr>
        <w:ind w:left="8495" w:hanging="360"/>
      </w:pPr>
    </w:lvl>
  </w:abstractNum>
  <w:abstractNum w:abstractNumId="4" w15:restartNumberingAfterBreak="0">
    <w:nsid w:val="293104A5"/>
    <w:multiLevelType w:val="hybridMultilevel"/>
    <w:tmpl w:val="9836B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EBF610A"/>
    <w:multiLevelType w:val="multilevel"/>
    <w:tmpl w:val="F7449B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6486DB0"/>
    <w:multiLevelType w:val="hybridMultilevel"/>
    <w:tmpl w:val="D2D033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C6C0F68"/>
    <w:multiLevelType w:val="multilevel"/>
    <w:tmpl w:val="8968D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464F68"/>
    <w:multiLevelType w:val="multilevel"/>
    <w:tmpl w:val="326CD5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B9A6B6E"/>
    <w:multiLevelType w:val="multilevel"/>
    <w:tmpl w:val="3D382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F877BDE"/>
    <w:multiLevelType w:val="hybridMultilevel"/>
    <w:tmpl w:val="DAD607A0"/>
    <w:lvl w:ilvl="0" w:tplc="52448774">
      <w:start w:val="1"/>
      <w:numFmt w:val="decimal"/>
      <w:lvlText w:val="%1."/>
      <w:lvlJc w:val="left"/>
      <w:pPr>
        <w:ind w:left="1443" w:hanging="465"/>
      </w:pPr>
      <w:rPr>
        <w:rFonts w:hint="default"/>
        <w:b w:val="0"/>
        <w:sz w:val="13"/>
      </w:rPr>
    </w:lvl>
    <w:lvl w:ilvl="1" w:tplc="240A0019" w:tentative="1">
      <w:start w:val="1"/>
      <w:numFmt w:val="lowerLetter"/>
      <w:lvlText w:val="%2."/>
      <w:lvlJc w:val="left"/>
      <w:pPr>
        <w:ind w:left="2058" w:hanging="360"/>
      </w:pPr>
    </w:lvl>
    <w:lvl w:ilvl="2" w:tplc="240A001B" w:tentative="1">
      <w:start w:val="1"/>
      <w:numFmt w:val="lowerRoman"/>
      <w:lvlText w:val="%3."/>
      <w:lvlJc w:val="right"/>
      <w:pPr>
        <w:ind w:left="2778" w:hanging="180"/>
      </w:pPr>
    </w:lvl>
    <w:lvl w:ilvl="3" w:tplc="240A000F" w:tentative="1">
      <w:start w:val="1"/>
      <w:numFmt w:val="decimal"/>
      <w:lvlText w:val="%4."/>
      <w:lvlJc w:val="left"/>
      <w:pPr>
        <w:ind w:left="3498" w:hanging="360"/>
      </w:pPr>
    </w:lvl>
    <w:lvl w:ilvl="4" w:tplc="240A0019" w:tentative="1">
      <w:start w:val="1"/>
      <w:numFmt w:val="lowerLetter"/>
      <w:lvlText w:val="%5."/>
      <w:lvlJc w:val="left"/>
      <w:pPr>
        <w:ind w:left="4218" w:hanging="360"/>
      </w:pPr>
    </w:lvl>
    <w:lvl w:ilvl="5" w:tplc="240A001B" w:tentative="1">
      <w:start w:val="1"/>
      <w:numFmt w:val="lowerRoman"/>
      <w:lvlText w:val="%6."/>
      <w:lvlJc w:val="right"/>
      <w:pPr>
        <w:ind w:left="4938" w:hanging="180"/>
      </w:pPr>
    </w:lvl>
    <w:lvl w:ilvl="6" w:tplc="240A000F" w:tentative="1">
      <w:start w:val="1"/>
      <w:numFmt w:val="decimal"/>
      <w:lvlText w:val="%7."/>
      <w:lvlJc w:val="left"/>
      <w:pPr>
        <w:ind w:left="5658" w:hanging="360"/>
      </w:pPr>
    </w:lvl>
    <w:lvl w:ilvl="7" w:tplc="240A0019" w:tentative="1">
      <w:start w:val="1"/>
      <w:numFmt w:val="lowerLetter"/>
      <w:lvlText w:val="%8."/>
      <w:lvlJc w:val="left"/>
      <w:pPr>
        <w:ind w:left="6378" w:hanging="360"/>
      </w:pPr>
    </w:lvl>
    <w:lvl w:ilvl="8" w:tplc="240A001B" w:tentative="1">
      <w:start w:val="1"/>
      <w:numFmt w:val="lowerRoman"/>
      <w:lvlText w:val="%9."/>
      <w:lvlJc w:val="right"/>
      <w:pPr>
        <w:ind w:left="7098" w:hanging="180"/>
      </w:pPr>
    </w:lvl>
  </w:abstractNum>
  <w:abstractNum w:abstractNumId="11" w15:restartNumberingAfterBreak="0">
    <w:nsid w:val="625A713A"/>
    <w:multiLevelType w:val="multilevel"/>
    <w:tmpl w:val="03B2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C13A65"/>
    <w:multiLevelType w:val="multilevel"/>
    <w:tmpl w:val="FADE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991E2E"/>
    <w:multiLevelType w:val="multilevel"/>
    <w:tmpl w:val="144CF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2B83B06"/>
    <w:multiLevelType w:val="multilevel"/>
    <w:tmpl w:val="0EF0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663983"/>
    <w:multiLevelType w:val="multilevel"/>
    <w:tmpl w:val="0FBE52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B897AF6"/>
    <w:multiLevelType w:val="hybridMultilevel"/>
    <w:tmpl w:val="E1CE2DEA"/>
    <w:lvl w:ilvl="0" w:tplc="240A0001">
      <w:start w:val="1"/>
      <w:numFmt w:val="bullet"/>
      <w:lvlText w:val=""/>
      <w:lvlJc w:val="left"/>
      <w:pPr>
        <w:ind w:left="1995" w:hanging="360"/>
      </w:pPr>
      <w:rPr>
        <w:rFonts w:ascii="Symbol" w:hAnsi="Symbol" w:hint="default"/>
      </w:rPr>
    </w:lvl>
    <w:lvl w:ilvl="1" w:tplc="240A0003" w:tentative="1">
      <w:start w:val="1"/>
      <w:numFmt w:val="bullet"/>
      <w:lvlText w:val="o"/>
      <w:lvlJc w:val="left"/>
      <w:pPr>
        <w:ind w:left="2715" w:hanging="360"/>
      </w:pPr>
      <w:rPr>
        <w:rFonts w:ascii="Courier New" w:hAnsi="Courier New" w:cs="Courier New" w:hint="default"/>
      </w:rPr>
    </w:lvl>
    <w:lvl w:ilvl="2" w:tplc="240A0005" w:tentative="1">
      <w:start w:val="1"/>
      <w:numFmt w:val="bullet"/>
      <w:lvlText w:val=""/>
      <w:lvlJc w:val="left"/>
      <w:pPr>
        <w:ind w:left="3435" w:hanging="360"/>
      </w:pPr>
      <w:rPr>
        <w:rFonts w:ascii="Wingdings" w:hAnsi="Wingdings" w:hint="default"/>
      </w:rPr>
    </w:lvl>
    <w:lvl w:ilvl="3" w:tplc="240A0001" w:tentative="1">
      <w:start w:val="1"/>
      <w:numFmt w:val="bullet"/>
      <w:lvlText w:val=""/>
      <w:lvlJc w:val="left"/>
      <w:pPr>
        <w:ind w:left="4155" w:hanging="360"/>
      </w:pPr>
      <w:rPr>
        <w:rFonts w:ascii="Symbol" w:hAnsi="Symbol" w:hint="default"/>
      </w:rPr>
    </w:lvl>
    <w:lvl w:ilvl="4" w:tplc="240A0003" w:tentative="1">
      <w:start w:val="1"/>
      <w:numFmt w:val="bullet"/>
      <w:lvlText w:val="o"/>
      <w:lvlJc w:val="left"/>
      <w:pPr>
        <w:ind w:left="4875" w:hanging="360"/>
      </w:pPr>
      <w:rPr>
        <w:rFonts w:ascii="Courier New" w:hAnsi="Courier New" w:cs="Courier New" w:hint="default"/>
      </w:rPr>
    </w:lvl>
    <w:lvl w:ilvl="5" w:tplc="240A0005" w:tentative="1">
      <w:start w:val="1"/>
      <w:numFmt w:val="bullet"/>
      <w:lvlText w:val=""/>
      <w:lvlJc w:val="left"/>
      <w:pPr>
        <w:ind w:left="5595" w:hanging="360"/>
      </w:pPr>
      <w:rPr>
        <w:rFonts w:ascii="Wingdings" w:hAnsi="Wingdings" w:hint="default"/>
      </w:rPr>
    </w:lvl>
    <w:lvl w:ilvl="6" w:tplc="240A0001" w:tentative="1">
      <w:start w:val="1"/>
      <w:numFmt w:val="bullet"/>
      <w:lvlText w:val=""/>
      <w:lvlJc w:val="left"/>
      <w:pPr>
        <w:ind w:left="6315" w:hanging="360"/>
      </w:pPr>
      <w:rPr>
        <w:rFonts w:ascii="Symbol" w:hAnsi="Symbol" w:hint="default"/>
      </w:rPr>
    </w:lvl>
    <w:lvl w:ilvl="7" w:tplc="240A0003" w:tentative="1">
      <w:start w:val="1"/>
      <w:numFmt w:val="bullet"/>
      <w:lvlText w:val="o"/>
      <w:lvlJc w:val="left"/>
      <w:pPr>
        <w:ind w:left="7035" w:hanging="360"/>
      </w:pPr>
      <w:rPr>
        <w:rFonts w:ascii="Courier New" w:hAnsi="Courier New" w:cs="Courier New" w:hint="default"/>
      </w:rPr>
    </w:lvl>
    <w:lvl w:ilvl="8" w:tplc="240A0005" w:tentative="1">
      <w:start w:val="1"/>
      <w:numFmt w:val="bullet"/>
      <w:lvlText w:val=""/>
      <w:lvlJc w:val="left"/>
      <w:pPr>
        <w:ind w:left="7755" w:hanging="360"/>
      </w:pPr>
      <w:rPr>
        <w:rFonts w:ascii="Wingdings" w:hAnsi="Wingdings" w:hint="default"/>
      </w:rPr>
    </w:lvl>
  </w:abstractNum>
  <w:num w:numId="1">
    <w:abstractNumId w:val="15"/>
  </w:num>
  <w:num w:numId="2">
    <w:abstractNumId w:val="13"/>
  </w:num>
  <w:num w:numId="3">
    <w:abstractNumId w:val="8"/>
  </w:num>
  <w:num w:numId="4">
    <w:abstractNumId w:val="9"/>
  </w:num>
  <w:num w:numId="5">
    <w:abstractNumId w:val="3"/>
  </w:num>
  <w:num w:numId="6">
    <w:abstractNumId w:val="0"/>
  </w:num>
  <w:num w:numId="7">
    <w:abstractNumId w:val="2"/>
  </w:num>
  <w:num w:numId="8">
    <w:abstractNumId w:val="5"/>
  </w:num>
  <w:num w:numId="9">
    <w:abstractNumId w:val="16"/>
  </w:num>
  <w:num w:numId="10">
    <w:abstractNumId w:val="6"/>
  </w:num>
  <w:num w:numId="11">
    <w:abstractNumId w:val="10"/>
  </w:num>
  <w:num w:numId="12">
    <w:abstractNumId w:val="14"/>
  </w:num>
  <w:num w:numId="13">
    <w:abstractNumId w:val="12"/>
  </w:num>
  <w:num w:numId="14">
    <w:abstractNumId w:val="11"/>
  </w:num>
  <w:num w:numId="15">
    <w:abstractNumId w:val="7"/>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FF0"/>
    <w:rsid w:val="00017CB6"/>
    <w:rsid w:val="00225EE3"/>
    <w:rsid w:val="003B7FE0"/>
    <w:rsid w:val="0048185A"/>
    <w:rsid w:val="00664FF0"/>
    <w:rsid w:val="00794241"/>
    <w:rsid w:val="007B3730"/>
    <w:rsid w:val="00893986"/>
    <w:rsid w:val="00A73157"/>
    <w:rsid w:val="00AD618B"/>
    <w:rsid w:val="00AE2B25"/>
    <w:rsid w:val="00BD701D"/>
    <w:rsid w:val="00C40787"/>
    <w:rsid w:val="00C45EF1"/>
    <w:rsid w:val="00CA6A2F"/>
    <w:rsid w:val="00D170BF"/>
    <w:rsid w:val="00D979C2"/>
    <w:rsid w:val="00DF0834"/>
    <w:rsid w:val="00EA471D"/>
    <w:rsid w:val="00EF7C54"/>
    <w:rsid w:val="00F02A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9181"/>
  <w15:docId w15:val="{AA5F24DE-0BDE-4F33-AECD-7F07AC65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489"/>
      <w:outlineLvl w:val="0"/>
    </w:pPr>
    <w:rPr>
      <w:b/>
      <w:sz w:val="24"/>
      <w:szCs w:val="24"/>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570" w:hanging="360"/>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517E28"/>
    <w:pPr>
      <w:widowControl/>
      <w:spacing w:before="100" w:beforeAutospacing="1" w:after="100" w:afterAutospacing="1"/>
    </w:pPr>
    <w:rPr>
      <w:rFonts w:ascii="Times New Roman" w:eastAsia="Times New Roman" w:hAnsi="Times New Roman" w:cs="Times New Roman"/>
      <w:sz w:val="24"/>
      <w:szCs w:val="24"/>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017CB6"/>
    <w:rPr>
      <w:b/>
      <w:bCs/>
    </w:rPr>
  </w:style>
  <w:style w:type="character" w:styleId="Hipervnculo">
    <w:name w:val="Hyperlink"/>
    <w:basedOn w:val="Fuentedeprrafopredeter"/>
    <w:uiPriority w:val="99"/>
    <w:semiHidden/>
    <w:unhideWhenUsed/>
    <w:rsid w:val="00C45EF1"/>
    <w:rPr>
      <w:color w:val="0000FF"/>
      <w:u w:val="single"/>
    </w:rPr>
  </w:style>
  <w:style w:type="table" w:styleId="Tablaconcuadrcula">
    <w:name w:val="Table Grid"/>
    <w:basedOn w:val="Tablanormal"/>
    <w:uiPriority w:val="39"/>
    <w:rsid w:val="00EF7C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67801">
      <w:bodyDiv w:val="1"/>
      <w:marLeft w:val="0"/>
      <w:marRight w:val="0"/>
      <w:marTop w:val="0"/>
      <w:marBottom w:val="0"/>
      <w:divBdr>
        <w:top w:val="none" w:sz="0" w:space="0" w:color="auto"/>
        <w:left w:val="none" w:sz="0" w:space="0" w:color="auto"/>
        <w:bottom w:val="none" w:sz="0" w:space="0" w:color="auto"/>
        <w:right w:val="none" w:sz="0" w:space="0" w:color="auto"/>
      </w:divBdr>
    </w:div>
    <w:div w:id="186524068">
      <w:bodyDiv w:val="1"/>
      <w:marLeft w:val="0"/>
      <w:marRight w:val="0"/>
      <w:marTop w:val="0"/>
      <w:marBottom w:val="0"/>
      <w:divBdr>
        <w:top w:val="none" w:sz="0" w:space="0" w:color="auto"/>
        <w:left w:val="none" w:sz="0" w:space="0" w:color="auto"/>
        <w:bottom w:val="none" w:sz="0" w:space="0" w:color="auto"/>
        <w:right w:val="none" w:sz="0" w:space="0" w:color="auto"/>
      </w:divBdr>
    </w:div>
    <w:div w:id="419643674">
      <w:bodyDiv w:val="1"/>
      <w:marLeft w:val="0"/>
      <w:marRight w:val="0"/>
      <w:marTop w:val="0"/>
      <w:marBottom w:val="0"/>
      <w:divBdr>
        <w:top w:val="none" w:sz="0" w:space="0" w:color="auto"/>
        <w:left w:val="none" w:sz="0" w:space="0" w:color="auto"/>
        <w:bottom w:val="none" w:sz="0" w:space="0" w:color="auto"/>
        <w:right w:val="none" w:sz="0" w:space="0" w:color="auto"/>
      </w:divBdr>
    </w:div>
    <w:div w:id="438108366">
      <w:bodyDiv w:val="1"/>
      <w:marLeft w:val="0"/>
      <w:marRight w:val="0"/>
      <w:marTop w:val="0"/>
      <w:marBottom w:val="0"/>
      <w:divBdr>
        <w:top w:val="none" w:sz="0" w:space="0" w:color="auto"/>
        <w:left w:val="none" w:sz="0" w:space="0" w:color="auto"/>
        <w:bottom w:val="none" w:sz="0" w:space="0" w:color="auto"/>
        <w:right w:val="none" w:sz="0" w:space="0" w:color="auto"/>
      </w:divBdr>
    </w:div>
    <w:div w:id="452099114">
      <w:bodyDiv w:val="1"/>
      <w:marLeft w:val="0"/>
      <w:marRight w:val="0"/>
      <w:marTop w:val="0"/>
      <w:marBottom w:val="0"/>
      <w:divBdr>
        <w:top w:val="none" w:sz="0" w:space="0" w:color="auto"/>
        <w:left w:val="none" w:sz="0" w:space="0" w:color="auto"/>
        <w:bottom w:val="none" w:sz="0" w:space="0" w:color="auto"/>
        <w:right w:val="none" w:sz="0" w:space="0" w:color="auto"/>
      </w:divBdr>
    </w:div>
    <w:div w:id="498889102">
      <w:bodyDiv w:val="1"/>
      <w:marLeft w:val="0"/>
      <w:marRight w:val="0"/>
      <w:marTop w:val="0"/>
      <w:marBottom w:val="0"/>
      <w:divBdr>
        <w:top w:val="none" w:sz="0" w:space="0" w:color="auto"/>
        <w:left w:val="none" w:sz="0" w:space="0" w:color="auto"/>
        <w:bottom w:val="none" w:sz="0" w:space="0" w:color="auto"/>
        <w:right w:val="none" w:sz="0" w:space="0" w:color="auto"/>
      </w:divBdr>
    </w:div>
    <w:div w:id="845170572">
      <w:bodyDiv w:val="1"/>
      <w:marLeft w:val="0"/>
      <w:marRight w:val="0"/>
      <w:marTop w:val="0"/>
      <w:marBottom w:val="0"/>
      <w:divBdr>
        <w:top w:val="none" w:sz="0" w:space="0" w:color="auto"/>
        <w:left w:val="none" w:sz="0" w:space="0" w:color="auto"/>
        <w:bottom w:val="none" w:sz="0" w:space="0" w:color="auto"/>
        <w:right w:val="none" w:sz="0" w:space="0" w:color="auto"/>
      </w:divBdr>
    </w:div>
    <w:div w:id="901645708">
      <w:bodyDiv w:val="1"/>
      <w:marLeft w:val="0"/>
      <w:marRight w:val="0"/>
      <w:marTop w:val="0"/>
      <w:marBottom w:val="0"/>
      <w:divBdr>
        <w:top w:val="none" w:sz="0" w:space="0" w:color="auto"/>
        <w:left w:val="none" w:sz="0" w:space="0" w:color="auto"/>
        <w:bottom w:val="none" w:sz="0" w:space="0" w:color="auto"/>
        <w:right w:val="none" w:sz="0" w:space="0" w:color="auto"/>
      </w:divBdr>
    </w:div>
    <w:div w:id="1026249052">
      <w:bodyDiv w:val="1"/>
      <w:marLeft w:val="0"/>
      <w:marRight w:val="0"/>
      <w:marTop w:val="0"/>
      <w:marBottom w:val="0"/>
      <w:divBdr>
        <w:top w:val="none" w:sz="0" w:space="0" w:color="auto"/>
        <w:left w:val="none" w:sz="0" w:space="0" w:color="auto"/>
        <w:bottom w:val="none" w:sz="0" w:space="0" w:color="auto"/>
        <w:right w:val="none" w:sz="0" w:space="0" w:color="auto"/>
      </w:divBdr>
    </w:div>
    <w:div w:id="1089741581">
      <w:bodyDiv w:val="1"/>
      <w:marLeft w:val="0"/>
      <w:marRight w:val="0"/>
      <w:marTop w:val="0"/>
      <w:marBottom w:val="0"/>
      <w:divBdr>
        <w:top w:val="none" w:sz="0" w:space="0" w:color="auto"/>
        <w:left w:val="none" w:sz="0" w:space="0" w:color="auto"/>
        <w:bottom w:val="none" w:sz="0" w:space="0" w:color="auto"/>
        <w:right w:val="none" w:sz="0" w:space="0" w:color="auto"/>
      </w:divBdr>
    </w:div>
    <w:div w:id="1180047678">
      <w:bodyDiv w:val="1"/>
      <w:marLeft w:val="0"/>
      <w:marRight w:val="0"/>
      <w:marTop w:val="0"/>
      <w:marBottom w:val="0"/>
      <w:divBdr>
        <w:top w:val="none" w:sz="0" w:space="0" w:color="auto"/>
        <w:left w:val="none" w:sz="0" w:space="0" w:color="auto"/>
        <w:bottom w:val="none" w:sz="0" w:space="0" w:color="auto"/>
        <w:right w:val="none" w:sz="0" w:space="0" w:color="auto"/>
      </w:divBdr>
    </w:div>
    <w:div w:id="1510214693">
      <w:bodyDiv w:val="1"/>
      <w:marLeft w:val="0"/>
      <w:marRight w:val="0"/>
      <w:marTop w:val="0"/>
      <w:marBottom w:val="0"/>
      <w:divBdr>
        <w:top w:val="none" w:sz="0" w:space="0" w:color="auto"/>
        <w:left w:val="none" w:sz="0" w:space="0" w:color="auto"/>
        <w:bottom w:val="none" w:sz="0" w:space="0" w:color="auto"/>
        <w:right w:val="none" w:sz="0" w:space="0" w:color="auto"/>
      </w:divBdr>
    </w:div>
    <w:div w:id="1546288515">
      <w:bodyDiv w:val="1"/>
      <w:marLeft w:val="0"/>
      <w:marRight w:val="0"/>
      <w:marTop w:val="0"/>
      <w:marBottom w:val="0"/>
      <w:divBdr>
        <w:top w:val="none" w:sz="0" w:space="0" w:color="auto"/>
        <w:left w:val="none" w:sz="0" w:space="0" w:color="auto"/>
        <w:bottom w:val="none" w:sz="0" w:space="0" w:color="auto"/>
        <w:right w:val="none" w:sz="0" w:space="0" w:color="auto"/>
      </w:divBdr>
    </w:div>
    <w:div w:id="1616058188">
      <w:bodyDiv w:val="1"/>
      <w:marLeft w:val="0"/>
      <w:marRight w:val="0"/>
      <w:marTop w:val="0"/>
      <w:marBottom w:val="0"/>
      <w:divBdr>
        <w:top w:val="none" w:sz="0" w:space="0" w:color="auto"/>
        <w:left w:val="none" w:sz="0" w:space="0" w:color="auto"/>
        <w:bottom w:val="none" w:sz="0" w:space="0" w:color="auto"/>
        <w:right w:val="none" w:sz="0" w:space="0" w:color="auto"/>
      </w:divBdr>
    </w:div>
    <w:div w:id="1634826252">
      <w:bodyDiv w:val="1"/>
      <w:marLeft w:val="0"/>
      <w:marRight w:val="0"/>
      <w:marTop w:val="0"/>
      <w:marBottom w:val="0"/>
      <w:divBdr>
        <w:top w:val="none" w:sz="0" w:space="0" w:color="auto"/>
        <w:left w:val="none" w:sz="0" w:space="0" w:color="auto"/>
        <w:bottom w:val="none" w:sz="0" w:space="0" w:color="auto"/>
        <w:right w:val="none" w:sz="0" w:space="0" w:color="auto"/>
      </w:divBdr>
    </w:div>
    <w:div w:id="1809004917">
      <w:bodyDiv w:val="1"/>
      <w:marLeft w:val="0"/>
      <w:marRight w:val="0"/>
      <w:marTop w:val="0"/>
      <w:marBottom w:val="0"/>
      <w:divBdr>
        <w:top w:val="none" w:sz="0" w:space="0" w:color="auto"/>
        <w:left w:val="none" w:sz="0" w:space="0" w:color="auto"/>
        <w:bottom w:val="none" w:sz="0" w:space="0" w:color="auto"/>
        <w:right w:val="none" w:sz="0" w:space="0" w:color="auto"/>
      </w:divBdr>
    </w:div>
    <w:div w:id="1927572180">
      <w:bodyDiv w:val="1"/>
      <w:marLeft w:val="0"/>
      <w:marRight w:val="0"/>
      <w:marTop w:val="0"/>
      <w:marBottom w:val="0"/>
      <w:divBdr>
        <w:top w:val="none" w:sz="0" w:space="0" w:color="auto"/>
        <w:left w:val="none" w:sz="0" w:space="0" w:color="auto"/>
        <w:bottom w:val="none" w:sz="0" w:space="0" w:color="auto"/>
        <w:right w:val="none" w:sz="0" w:space="0" w:color="auto"/>
      </w:divBdr>
    </w:div>
    <w:div w:id="1944879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vAvEY2Sx37aDjf/3HU3iGDmGgA==">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983</Words>
  <Characters>5410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Naidu Sastoque</dc:creator>
  <cp:lastModifiedBy>Naidu</cp:lastModifiedBy>
  <cp:revision>3</cp:revision>
  <dcterms:created xsi:type="dcterms:W3CDTF">2025-10-26T23:09:00Z</dcterms:created>
  <dcterms:modified xsi:type="dcterms:W3CDTF">2025-10-26T23:16:00Z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2025-06-25T00:00:00Z</vt:filetime>
  </property>
  <property fmtid="{D5CDD505-2E9C-101B-9397-08002B2CF9AE}" pid="3" name="Creator">
    <vt:lpwstr>Microsoft® Word para Microsoft 365</vt:lpwstr>
  </property>
  <property fmtid="{D5CDD505-2E9C-101B-9397-08002B2CF9AE}" pid="4" name="LastSaved">
    <vt:filetime>2025-07-07T00:00:00Z</vt:filetime>
  </property>
  <property fmtid="{D5CDD505-2E9C-101B-9397-08002B2CF9AE}" pid="5" name="Producer">
    <vt:lpwstr>Microsoft® Word para Microsoft 365</vt:lpwstr>
  </property>
</Properties>
</file>